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5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:rsidR="00AF6833" w:rsidRDefault="00AF6833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ԲՀ-</w:t>
      </w:r>
      <w:r w:rsidR="006B2AC5">
        <w:rPr>
          <w:rFonts w:ascii="Sylfaen" w:hAnsi="Sylfaen" w:cs="Arial"/>
          <w:b/>
          <w:noProof/>
        </w:rPr>
        <w:t>ԳՀԱՊ</w:t>
      </w:r>
      <w:r w:rsidR="001F4722">
        <w:rPr>
          <w:rFonts w:ascii="Sylfaen" w:hAnsi="Sylfaen" w:cs="Arial"/>
          <w:b/>
          <w:noProof/>
        </w:rPr>
        <w:t>ՁԲ</w:t>
      </w:r>
      <w:r w:rsidR="005E3ECA">
        <w:rPr>
          <w:rFonts w:ascii="Sylfaen" w:hAnsi="Sylfaen" w:cs="Arial"/>
          <w:b/>
          <w:noProof/>
        </w:rPr>
        <w:t>-20/</w:t>
      </w:r>
      <w:r w:rsidR="00227707" w:rsidRPr="00227707">
        <w:rPr>
          <w:rFonts w:ascii="Sylfaen" w:hAnsi="Sylfaen" w:cs="Arial"/>
          <w:b/>
          <w:noProof/>
        </w:rPr>
        <w:t>13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Բերդի </w:t>
      </w:r>
      <w:r w:rsidR="00687699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համայնքապետարանը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227707">
        <w:rPr>
          <w:rFonts w:ascii="Sylfaen" w:eastAsia="Sylfaen" w:hAnsi="Sylfaen" w:cs="Sylfaen"/>
          <w:spacing w:val="0"/>
          <w:sz w:val="20"/>
          <w:szCs w:val="20"/>
          <w:u w:color="000000"/>
          <w:lang w:val="ru-RU"/>
        </w:rPr>
        <w:t>վառելիքի</w:t>
      </w:r>
      <w:r w:rsidR="008C5A8B" w:rsidRPr="006B2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C5A8B" w:rsidRPr="008C5A8B">
        <w:rPr>
          <w:rFonts w:ascii="Sylfaen" w:eastAsia="Sylfaen" w:hAnsi="Sylfaen" w:cs="Sylfaen"/>
          <w:spacing w:val="0"/>
          <w:sz w:val="20"/>
          <w:szCs w:val="20"/>
          <w:u w:color="000000"/>
        </w:rPr>
        <w:t>ձեռքբերման</w:t>
      </w:r>
      <w:r w:rsidR="00D37479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նպատակով կազմակերպված 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ՁԲ</w:t>
      </w:r>
      <w:r w:rsidR="00227707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227707" w:rsidRPr="00227707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13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 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it-IT"/>
        </w:rPr>
        <w:t>մա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>յիսի</w:t>
      </w:r>
      <w:r w:rsidR="00227707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227707" w:rsidRPr="00227707">
        <w:rPr>
          <w:rFonts w:ascii="Sylfaen" w:eastAsia="Sylfaen" w:hAnsi="Sylfaen" w:cs="Sylfaen"/>
          <w:sz w:val="20"/>
          <w:szCs w:val="20"/>
          <w:u w:color="000000"/>
          <w:lang w:val="it-IT"/>
        </w:rPr>
        <w:t>6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D37CF7"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Համաձյան որի`</w:t>
      </w:r>
    </w:p>
    <w:p w:rsidR="001F631C" w:rsidRPr="005A56A8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p w:rsidR="00F93855" w:rsidRPr="0098116B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37CF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1F631C" w:rsidRPr="0098116B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227707" w:rsidRPr="003020DF">
        <w:rPr>
          <w:rFonts w:ascii="Sylfaen" w:hAnsi="Sylfaen" w:cs="Arial"/>
          <w:b/>
          <w:noProof/>
        </w:rPr>
        <w:t>Հեղուկ</w:t>
      </w:r>
      <w:r w:rsidR="00227707" w:rsidRPr="00227707">
        <w:rPr>
          <w:rFonts w:ascii="Sylfaen" w:hAnsi="Sylfaen" w:cs="Arial"/>
          <w:b/>
          <w:noProof/>
          <w:lang w:val="it-IT"/>
        </w:rPr>
        <w:t xml:space="preserve"> </w:t>
      </w:r>
      <w:r w:rsidR="00227707" w:rsidRPr="003020DF">
        <w:rPr>
          <w:rFonts w:ascii="Sylfaen" w:hAnsi="Sylfaen" w:cs="Arial"/>
          <w:b/>
          <w:noProof/>
        </w:rPr>
        <w:t>պրոպան</w:t>
      </w:r>
      <w:r w:rsidR="00227707" w:rsidRPr="00227707">
        <w:rPr>
          <w:rFonts w:ascii="Sylfaen" w:hAnsi="Sylfaen" w:cs="Arial"/>
          <w:b/>
          <w:noProof/>
          <w:lang w:val="it-IT"/>
        </w:rPr>
        <w:t xml:space="preserve"> </w:t>
      </w:r>
      <w:r w:rsidR="00227707" w:rsidRPr="003020DF">
        <w:rPr>
          <w:rFonts w:ascii="Sylfaen" w:hAnsi="Sylfaen" w:cs="Arial"/>
          <w:b/>
          <w:noProof/>
        </w:rPr>
        <w:t>գազ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"/>
        <w:gridCol w:w="2610"/>
        <w:gridCol w:w="2395"/>
        <w:gridCol w:w="2375"/>
        <w:gridCol w:w="2973"/>
      </w:tblGrid>
      <w:tr w:rsidR="00F93855" w:rsidTr="00023965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023965">
            <w:pPr>
              <w:pStyle w:val="a3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5E3ECA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Pr="001C76B8" w:rsidRDefault="005E3ECA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Pr="006231BB" w:rsidRDefault="00825D37" w:rsidP="0060085F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825D37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«Հարի Գրուպ»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Default="005E3ECA" w:rsidP="00263C89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Default="005E3ECA" w:rsidP="00267659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Default="005E3ECA" w:rsidP="00267659"/>
        </w:tc>
      </w:tr>
    </w:tbl>
    <w:p w:rsidR="00F93855" w:rsidRDefault="00F93855" w:rsidP="001F631C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1F631C" w:rsidRDefault="001F631C" w:rsidP="001F631C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02"/>
        <w:gridCol w:w="2610"/>
        <w:gridCol w:w="1765"/>
        <w:gridCol w:w="1423"/>
        <w:gridCol w:w="1530"/>
        <w:gridCol w:w="1547"/>
      </w:tblGrid>
      <w:tr w:rsidR="00FF27B7" w:rsidTr="004D60BE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Default="00FF27B7" w:rsidP="00DD21BF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B7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BC1725" w:rsidRPr="00BC1725" w:rsidRDefault="00FF27B7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FF27B7" w:rsidRPr="00BC1725" w:rsidRDefault="00BC1725" w:rsidP="00BC1725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5E3ECA" w:rsidTr="004D60BE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Default="005E3ECA" w:rsidP="00267659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Pr="00675B53" w:rsidRDefault="006752EB" w:rsidP="00744F7E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2EB">
              <w:rPr>
                <w:rFonts w:ascii="Sylfaen" w:hAnsi="Sylfaen" w:cs="Sylfaen"/>
                <w:sz w:val="20"/>
                <w:szCs w:val="18"/>
              </w:rPr>
              <w:t>«Հարի Գրուպ»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Pr="000F52E0" w:rsidRDefault="005E3ECA" w:rsidP="00267659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ECA" w:rsidRPr="003D3345" w:rsidRDefault="006752EB" w:rsidP="0060085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540 000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5E3ECA" w:rsidRPr="003D3345" w:rsidRDefault="006752EB" w:rsidP="0060085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60 000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5E3ECA" w:rsidRPr="003D3345" w:rsidRDefault="006752EB" w:rsidP="0011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600 000</w:t>
            </w:r>
          </w:p>
        </w:tc>
      </w:tr>
    </w:tbl>
    <w:p w:rsidR="00825D37" w:rsidRDefault="00825D3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</w:p>
    <w:p w:rsidR="00227707" w:rsidRPr="0098116B" w:rsidRDefault="0009646F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6752EB">
        <w:rPr>
          <w:rFonts w:ascii="Sylfaen" w:eastAsia="Sylfaen" w:hAnsi="Sylfaen" w:cs="Sylfaen"/>
          <w:sz w:val="20"/>
          <w:szCs w:val="20"/>
          <w:u w:color="000000"/>
          <w:lang w:val="ru-RU"/>
        </w:rPr>
        <w:t>2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։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227707" w:rsidRPr="0098116B" w:rsidRDefault="0022770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6752EB" w:rsidRPr="006752EB">
        <w:rPr>
          <w:rFonts w:ascii="Sylfaen" w:hAnsi="Sylfaen" w:cs="Arial"/>
          <w:b/>
          <w:noProof/>
        </w:rPr>
        <w:t>Սեղմված</w:t>
      </w:r>
      <w:r w:rsidR="006752EB" w:rsidRPr="006752EB">
        <w:rPr>
          <w:rFonts w:ascii="Sylfaen" w:hAnsi="Sylfaen" w:cs="Arial"/>
          <w:b/>
          <w:noProof/>
          <w:lang w:val="it-IT"/>
        </w:rPr>
        <w:t xml:space="preserve"> </w:t>
      </w:r>
      <w:r w:rsidR="006752EB" w:rsidRPr="006752EB">
        <w:rPr>
          <w:rFonts w:ascii="Sylfaen" w:hAnsi="Sylfaen" w:cs="Arial"/>
          <w:b/>
          <w:noProof/>
        </w:rPr>
        <w:t>բնական</w:t>
      </w:r>
      <w:r w:rsidR="006752EB" w:rsidRPr="006752EB">
        <w:rPr>
          <w:rFonts w:ascii="Sylfaen" w:hAnsi="Sylfaen" w:cs="Arial"/>
          <w:b/>
          <w:noProof/>
          <w:lang w:val="it-IT"/>
        </w:rPr>
        <w:t xml:space="preserve"> </w:t>
      </w:r>
      <w:r w:rsidR="006752EB" w:rsidRPr="006752EB">
        <w:rPr>
          <w:rFonts w:ascii="Sylfaen" w:hAnsi="Sylfaen" w:cs="Arial"/>
          <w:b/>
          <w:noProof/>
        </w:rPr>
        <w:t>գազ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"/>
        <w:gridCol w:w="2610"/>
        <w:gridCol w:w="2395"/>
        <w:gridCol w:w="2375"/>
        <w:gridCol w:w="2973"/>
      </w:tblGrid>
      <w:tr w:rsidR="00227707" w:rsidTr="000533DA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227707" w:rsidRDefault="00227707" w:rsidP="000533DA">
            <w:pPr>
              <w:pStyle w:val="a3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227707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1C76B8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6231BB" w:rsidRDefault="006752EB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2EB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«ՎԻՑԻ ԳՐՈԻՊ»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/>
        </w:tc>
      </w:tr>
    </w:tbl>
    <w:p w:rsidR="00227707" w:rsidRPr="006752EB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  <w:lang w:val="ru-RU"/>
        </w:rPr>
      </w:pPr>
    </w:p>
    <w:p w:rsidR="00227707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02"/>
        <w:gridCol w:w="2610"/>
        <w:gridCol w:w="1765"/>
        <w:gridCol w:w="1423"/>
        <w:gridCol w:w="1530"/>
        <w:gridCol w:w="1547"/>
      </w:tblGrid>
      <w:tr w:rsidR="00227707" w:rsidTr="000533DA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227707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675B53" w:rsidRDefault="006752EB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2EB">
              <w:rPr>
                <w:rFonts w:ascii="Sylfaen" w:hAnsi="Sylfaen" w:cs="Sylfaen"/>
                <w:sz w:val="20"/>
                <w:szCs w:val="18"/>
              </w:rPr>
              <w:t>«ՎԻՑԻ ԳՐՈԻՊ»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0F52E0" w:rsidRDefault="00227707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3D3345" w:rsidRDefault="006752EB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3 876 417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227707" w:rsidRPr="003D3345" w:rsidRDefault="006752EB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 xml:space="preserve"> 271 500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227707" w:rsidRPr="003D3345" w:rsidRDefault="006752EB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4 147 917</w:t>
            </w:r>
          </w:p>
        </w:tc>
      </w:tr>
    </w:tbl>
    <w:p w:rsidR="00227707" w:rsidRDefault="0009646F" w:rsidP="0009646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    </w:t>
      </w:r>
    </w:p>
    <w:p w:rsidR="00227707" w:rsidRPr="0098116B" w:rsidRDefault="0009646F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27707"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   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6752EB">
        <w:rPr>
          <w:rFonts w:ascii="Sylfaen" w:eastAsia="Sylfaen" w:hAnsi="Sylfaen" w:cs="Sylfaen"/>
          <w:sz w:val="20"/>
          <w:szCs w:val="20"/>
          <w:u w:color="000000"/>
          <w:lang w:val="ru-RU"/>
        </w:rPr>
        <w:t>3</w:t>
      </w:r>
      <w:r w:rsidR="00227707">
        <w:rPr>
          <w:rFonts w:ascii="Sylfaen" w:eastAsia="Sylfaen" w:hAnsi="Sylfaen" w:cs="Sylfaen"/>
          <w:sz w:val="20"/>
          <w:szCs w:val="20"/>
          <w:u w:color="000000"/>
        </w:rPr>
        <w:t>։</w:t>
      </w:r>
      <w:r w:rsidR="0022770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227707" w:rsidRPr="0098116B" w:rsidRDefault="00227707" w:rsidP="00227707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D3345" w:rsidRPr="003D3345">
        <w:rPr>
          <w:rFonts w:ascii="Sylfaen" w:hAnsi="Sylfaen" w:cs="Arial"/>
          <w:b/>
          <w:noProof/>
        </w:rPr>
        <w:t>Բենզին</w:t>
      </w:r>
      <w:r w:rsidR="003D3345" w:rsidRPr="003D3345">
        <w:rPr>
          <w:rFonts w:ascii="Sylfaen" w:hAnsi="Sylfaen" w:cs="Arial"/>
          <w:b/>
          <w:noProof/>
          <w:lang w:val="it-IT"/>
        </w:rPr>
        <w:t xml:space="preserve"> </w:t>
      </w:r>
      <w:r w:rsidR="003D3345" w:rsidRPr="003D3345">
        <w:rPr>
          <w:rFonts w:ascii="Sylfaen" w:hAnsi="Sylfaen" w:cs="Arial"/>
          <w:b/>
          <w:noProof/>
        </w:rPr>
        <w:t>պրեմիում</w:t>
      </w: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"/>
        <w:gridCol w:w="2610"/>
        <w:gridCol w:w="2395"/>
        <w:gridCol w:w="2375"/>
        <w:gridCol w:w="2973"/>
      </w:tblGrid>
      <w:tr w:rsidR="00227707" w:rsidTr="000533DA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227707" w:rsidRDefault="00227707" w:rsidP="000533DA">
            <w:pPr>
              <w:pStyle w:val="a3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3D3345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1C76B8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231BB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ՖԼԵՇ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</w:tr>
      <w:tr w:rsidR="003D3345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1C76B8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75B53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Հարի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</w:tr>
      <w:tr w:rsidR="003D3345" w:rsidTr="000533D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75B53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Մաքս օիլ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/>
        </w:tc>
      </w:tr>
    </w:tbl>
    <w:p w:rsidR="00227707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227707" w:rsidRDefault="00227707" w:rsidP="00227707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tbl>
      <w:tblPr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02"/>
        <w:gridCol w:w="2610"/>
        <w:gridCol w:w="1765"/>
        <w:gridCol w:w="1423"/>
        <w:gridCol w:w="1530"/>
        <w:gridCol w:w="1547"/>
      </w:tblGrid>
      <w:tr w:rsidR="00227707" w:rsidTr="000533DA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Default="00227707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Ինքնարժեք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Շահույթ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227707" w:rsidRPr="00BC1725" w:rsidRDefault="00227707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BC1725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3D3345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231BB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«</w:t>
            </w:r>
            <w:r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>ՖԼԵՇ</w:t>
            </w:r>
            <w:r w:rsidRPr="00675B53">
              <w:rPr>
                <w:rFonts w:ascii="Sylfaen" w:eastAsiaTheme="minorHAnsi" w:hAnsi="Sylfaen" w:cs="Sylfaen"/>
                <w:sz w:val="20"/>
                <w:szCs w:val="18"/>
                <w:lang w:val="ru-RU"/>
              </w:rPr>
              <w:t xml:space="preserve">» </w:t>
            </w:r>
            <w:r>
              <w:rPr>
                <w:rFonts w:ascii="Sylfaen" w:eastAsiaTheme="minorHAnsi" w:hAnsi="Sylfaen" w:cs="Sylfaen"/>
                <w:sz w:val="20"/>
                <w:szCs w:val="18"/>
              </w:rPr>
              <w:t>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0F52E0" w:rsidRDefault="003D3345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0F52E0">
              <w:rPr>
                <w:rFonts w:ascii="Sylfaen" w:hAnsi="Sylfaen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1 735 200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64 800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1 800 000</w:t>
            </w:r>
          </w:p>
        </w:tc>
      </w:tr>
      <w:tr w:rsidR="003D3345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75B53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 w:rsidRPr="00675B53"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Հարի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Գրուպ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</w:t>
            </w:r>
            <w:r>
              <w:rPr>
                <w:rFonts w:ascii="Sylfaen" w:hAnsi="Sylfaen" w:cs="Sylfaen"/>
                <w:sz w:val="20"/>
                <w:szCs w:val="18"/>
              </w:rPr>
              <w:t xml:space="preserve">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0F52E0" w:rsidRDefault="003D3345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2 138 400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237 600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2 376 000</w:t>
            </w:r>
          </w:p>
        </w:tc>
      </w:tr>
      <w:tr w:rsidR="003D3345" w:rsidTr="000533D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Default="003D3345" w:rsidP="000533DA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675B53" w:rsidRDefault="003D3345" w:rsidP="000533DA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</w:rPr>
            </w:pPr>
            <w:r>
              <w:rPr>
                <w:rFonts w:ascii="Sylfaen" w:hAnsi="Sylfaen" w:cs="Sylfaen"/>
                <w:sz w:val="20"/>
                <w:szCs w:val="18"/>
              </w:rPr>
              <w:t>«</w:t>
            </w:r>
            <w:r>
              <w:rPr>
                <w:rFonts w:ascii="Sylfaen" w:hAnsi="Sylfaen" w:cs="Sylfaen"/>
                <w:sz w:val="20"/>
                <w:szCs w:val="18"/>
                <w:lang w:val="ru-RU"/>
              </w:rPr>
              <w:t>Մաքս օիլ</w:t>
            </w:r>
            <w:r w:rsidRPr="00675B53">
              <w:rPr>
                <w:rFonts w:ascii="Sylfaen" w:hAnsi="Sylfaen" w:cs="Sylfaen"/>
                <w:sz w:val="20"/>
                <w:szCs w:val="18"/>
              </w:rPr>
              <w:t>»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0F52E0" w:rsidRDefault="003D3345" w:rsidP="000533DA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1 753 920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Style w:val="Default"/>
              <w:jc w:val="center"/>
              <w:rPr>
                <w:rFonts w:ascii="Sylfaen" w:hAnsi="Sylfaen"/>
                <w:sz w:val="20"/>
                <w:szCs w:val="20"/>
              </w:rPr>
            </w:pPr>
            <w:r w:rsidRPr="003D3345">
              <w:rPr>
                <w:rFonts w:ascii="Sylfaen" w:hAnsi="Sylfaen"/>
                <w:sz w:val="20"/>
                <w:szCs w:val="20"/>
              </w:rPr>
              <w:t>73 080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3D3345" w:rsidRPr="003D3345" w:rsidRDefault="003D3345" w:rsidP="00053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contextualSpacing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345">
              <w:rPr>
                <w:rFonts w:ascii="Sylfaen" w:hAnsi="Sylfaen"/>
                <w:sz w:val="20"/>
                <w:szCs w:val="20"/>
                <w:lang w:val="ru-RU"/>
              </w:rPr>
              <w:t>1 827 000</w:t>
            </w:r>
          </w:p>
        </w:tc>
      </w:tr>
    </w:tbl>
    <w:p w:rsidR="00A75630" w:rsidRPr="003D3345" w:rsidRDefault="00825D37" w:rsidP="00A75630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ru-RU"/>
        </w:rPr>
      </w:pPr>
      <w:r>
        <w:rPr>
          <w:rFonts w:ascii="Sylfaen" w:eastAsia="Sylfaen" w:hAnsi="Sylfaen" w:cs="Sylfaen"/>
          <w:sz w:val="20"/>
          <w:szCs w:val="20"/>
          <w:u w:color="000000"/>
          <w:lang w:val="ru-RU"/>
        </w:rPr>
        <w:t xml:space="preserve"> </w:t>
      </w:r>
      <w:r w:rsidR="0009646F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</w:p>
    <w:p w:rsidR="00EB7F5C" w:rsidRPr="009645B1" w:rsidRDefault="00EB7F5C" w:rsidP="00EB7F5C">
      <w:pPr>
        <w:pStyle w:val="a3"/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93855" w:rsidRPr="001F631C" w:rsidRDefault="00F93855" w:rsidP="00F93855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մասնակցին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որոշելու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կիրառված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չափանիշ՝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որպես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ամենացածր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գնային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առաջարկ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ներկայացրած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մասնակից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</w:p>
    <w:p w:rsidR="006B2AC5" w:rsidRPr="003D3345" w:rsidRDefault="00EA72F6" w:rsidP="0096599A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lastRenderedPageBreak/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13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Pr="00EA72F6">
        <w:rPr>
          <w:rFonts w:ascii="Sylfaen" w:eastAsia="Sylfaen" w:hAnsi="Sylfaen" w:cs="Sylfaen"/>
          <w:sz w:val="20"/>
          <w:szCs w:val="20"/>
          <w:u w:color="000000"/>
          <w:lang w:val="hy-AM"/>
        </w:rPr>
        <w:t>ծածկագրով գնման ընթացակարգ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ի 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 w:rsidR="00F07718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-ին </w:t>
      </w:r>
      <w:r w:rsidR="005E3ECA">
        <w:rPr>
          <w:rFonts w:ascii="Sylfaen" w:eastAsia="Sylfaen" w:hAnsi="Sylfaen" w:cs="Sylfaen"/>
          <w:sz w:val="20"/>
          <w:szCs w:val="20"/>
          <w:u w:color="000000"/>
          <w:lang w:val="hy-AM"/>
        </w:rPr>
        <w:t>չափաբաժ</w:t>
      </w:r>
      <w:r w:rsidR="005E3ECA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6B2AC5">
        <w:rPr>
          <w:rFonts w:ascii="Sylfaen" w:eastAsia="Sylfaen" w:hAnsi="Sylfaen" w:cs="Sylfaen"/>
          <w:sz w:val="20"/>
          <w:szCs w:val="20"/>
          <w:u w:color="000000"/>
        </w:rPr>
        <w:t>ի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մասով ընտրված մասնակից է ճանաչվում 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>«Հարի Գրուպ» ՍՊԸ</w:t>
      </w:r>
      <w:r w:rsidR="009874ED" w:rsidRPr="003D3345">
        <w:rPr>
          <w:rFonts w:ascii="Sylfaen" w:hAnsi="Sylfaen" w:cs="Sylfaen"/>
          <w:sz w:val="20"/>
          <w:szCs w:val="20"/>
          <w:lang w:val="af-ZA"/>
        </w:rPr>
        <w:t>-</w:t>
      </w:r>
      <w:r w:rsidR="009874ED" w:rsidRPr="003D3345">
        <w:rPr>
          <w:rFonts w:ascii="Sylfaen" w:hAnsi="Sylfaen" w:cs="Sylfaen"/>
          <w:sz w:val="20"/>
          <w:szCs w:val="20"/>
        </w:rPr>
        <w:t>ն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>, 2-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րդ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չափաբաժնի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մասով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առաջին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տեղ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է</w:t>
      </w:r>
      <w:r w:rsidR="003D3345" w:rsidRPr="003D334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3345" w:rsidRPr="003D3345">
        <w:rPr>
          <w:rFonts w:ascii="Sylfaen" w:hAnsi="Sylfaen" w:cs="Sylfaen"/>
          <w:sz w:val="20"/>
          <w:szCs w:val="20"/>
          <w:lang w:val="ru-RU"/>
        </w:rPr>
        <w:t>զբաղեցնում</w:t>
      </w:r>
      <w:r w:rsidR="003D3345" w:rsidRPr="003D3345">
        <w:rPr>
          <w:rFonts w:ascii="Sylfaen" w:hAnsi="Sylfaen" w:cs="Sylfaen"/>
          <w:lang w:val="af-ZA"/>
        </w:rPr>
        <w:t xml:space="preserve"> «ՎԻՑԻ ԳՐՈԻՊ» ՍՊԸ-ն, 3-րդ չափաբաժնի առաջին տեղ է զբաղեցնում «ՖԼԵՇ» ՍՊԸ-ն:</w:t>
      </w:r>
    </w:p>
    <w:p w:rsidR="0096599A" w:rsidRPr="009874ED" w:rsidRDefault="00DA3A85" w:rsidP="0096599A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Գնումների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մասին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ՀՀ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օրենքի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10-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րդ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հոդվածի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համաձայն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`</w:t>
      </w:r>
      <w:r w:rsidR="00A228C6" w:rsidRPr="00A228C6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13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A228C6" w:rsidRPr="00A228C6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ծածկագրով ընթացակարգի 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շրջանակներու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</w:rPr>
        <w:t>մ</w:t>
      </w:r>
      <w:r w:rsidR="0096599A" w:rsidRPr="0096599A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</w:t>
      </w:r>
      <w:r w:rsidR="003D3345" w:rsidRPr="003D3345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3-</w:t>
      </w:r>
      <w:r w:rsidR="003D3345">
        <w:rPr>
          <w:rFonts w:ascii="Sylfaen" w:eastAsia="Sylfaen" w:hAnsi="Sylfaen" w:cs="Sylfaen"/>
          <w:iCs/>
          <w:sz w:val="20"/>
          <w:szCs w:val="20"/>
          <w:u w:color="000000"/>
          <w:lang w:val="ru-RU"/>
        </w:rPr>
        <w:t>րդ</w:t>
      </w:r>
      <w:r w:rsidR="003D3345" w:rsidRPr="003D3345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3D3345">
        <w:rPr>
          <w:rFonts w:ascii="Sylfaen" w:eastAsia="Sylfaen" w:hAnsi="Sylfaen" w:cs="Sylfaen"/>
          <w:iCs/>
          <w:sz w:val="20"/>
          <w:szCs w:val="20"/>
          <w:u w:color="000000"/>
          <w:lang w:val="ru-RU"/>
        </w:rPr>
        <w:t>չափաբաժնի</w:t>
      </w:r>
      <w:r w:rsidR="003D3345" w:rsidRPr="003D3345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3D3345">
        <w:rPr>
          <w:rFonts w:ascii="Sylfaen" w:eastAsia="Sylfaen" w:hAnsi="Sylfaen" w:cs="Sylfaen"/>
          <w:iCs/>
          <w:sz w:val="20"/>
          <w:szCs w:val="20"/>
          <w:u w:color="000000"/>
          <w:lang w:val="ru-RU"/>
        </w:rPr>
        <w:t>մասով</w:t>
      </w:r>
      <w:r w:rsidR="003D3345" w:rsidRPr="003D3345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96599A" w:rsidRPr="0096599A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անգործության</w:t>
      </w:r>
      <w:r w:rsidR="0096599A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Cs/>
          <w:sz w:val="20"/>
          <w:szCs w:val="20"/>
          <w:u w:color="000000"/>
        </w:rPr>
        <w:t>ժամկետ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է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Cs/>
          <w:sz w:val="20"/>
          <w:szCs w:val="20"/>
          <w:u w:color="000000"/>
        </w:rPr>
        <w:t>սահմանվում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5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օրացուցային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9874ED">
        <w:rPr>
          <w:rFonts w:ascii="Sylfaen" w:eastAsia="Sylfaen" w:hAnsi="Sylfaen" w:cs="Sylfaen"/>
          <w:iCs/>
          <w:sz w:val="20"/>
          <w:szCs w:val="20"/>
          <w:u w:color="000000"/>
        </w:rPr>
        <w:t>օր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:</w:t>
      </w:r>
    </w:p>
    <w:p w:rsidR="00EA325B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Սույն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հայտարարության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հետ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կապված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լրացուցիչ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տեղեկություններ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ստանալու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կարող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եք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դիմել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1567B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5E3ECA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bookmarkStart w:id="0" w:name="_GoBack"/>
      <w:bookmarkEnd w:id="0"/>
      <w:r w:rsidR="003D3345" w:rsidRPr="003D334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13</w:t>
      </w:r>
      <w:r w:rsidR="0081567B" w:rsidRPr="000F52E0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DA3A8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գնահատող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հանձնաժողովի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քարտուղար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522FCB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.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Վանեսյանին</w:t>
      </w:r>
      <w:r w:rsidR="00AF6833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</w:t>
      </w:r>
    </w:p>
    <w:p w:rsidR="00F93855" w:rsidRPr="00871E42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   </w:t>
      </w:r>
    </w:p>
    <w:p w:rsidR="001F7C8D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Հեռախոս՝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>374 98 92 77 75</w:t>
      </w:r>
    </w:p>
    <w:p w:rsidR="00F93855" w:rsidRPr="00871E42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Էլեկոտրանային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փոստ՝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522FCB">
        <w:rPr>
          <w:rFonts w:ascii="GHEA Grapalat" w:hAnsi="GHEA Grapalat"/>
          <w:i/>
          <w:u w:val="single"/>
          <w:lang w:val="af-ZA"/>
        </w:rPr>
        <w:t>nellyvanesyan@mail.ru</w:t>
      </w:r>
    </w:p>
    <w:p w:rsidR="00BD4D8F" w:rsidRPr="007D3FA9" w:rsidRDefault="00F93855" w:rsidP="007D3FA9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ab/>
      </w:r>
      <w:r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</w:rPr>
        <w:t>Պատվիրատու</w:t>
      </w:r>
      <w:r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ru-RU"/>
        </w:rPr>
        <w:t xml:space="preserve">` </w:t>
      </w:r>
      <w:r w:rsidR="00DE5B04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color="000000"/>
          <w:lang w:val="af-ZA"/>
        </w:rPr>
        <w:t>Բերդի համայնքապետարան</w:t>
      </w:r>
    </w:p>
    <w:sectPr w:rsidR="00BD4D8F" w:rsidRPr="007D3FA9" w:rsidSect="001F7C8D">
      <w:headerReference w:type="default" r:id="rId6"/>
      <w:footerReference w:type="default" r:id="rId7"/>
      <w:pgSz w:w="11906" w:h="16838"/>
      <w:pgMar w:top="630" w:right="1134" w:bottom="270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D9" w:rsidRDefault="000359D9" w:rsidP="004D58E5">
      <w:r>
        <w:separator/>
      </w:r>
    </w:p>
  </w:endnote>
  <w:endnote w:type="continuationSeparator" w:id="0">
    <w:p w:rsidR="000359D9" w:rsidRDefault="000359D9" w:rsidP="004D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D9" w:rsidRDefault="007910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D9" w:rsidRDefault="000359D9" w:rsidP="004D58E5">
      <w:r>
        <w:separator/>
      </w:r>
    </w:p>
  </w:footnote>
  <w:footnote w:type="continuationSeparator" w:id="0">
    <w:p w:rsidR="000359D9" w:rsidRDefault="000359D9" w:rsidP="004D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D9" w:rsidRDefault="007910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855"/>
    <w:rsid w:val="000211F4"/>
    <w:rsid w:val="00023965"/>
    <w:rsid w:val="000337BA"/>
    <w:rsid w:val="00034208"/>
    <w:rsid w:val="000359D9"/>
    <w:rsid w:val="00086E7C"/>
    <w:rsid w:val="0009646F"/>
    <w:rsid w:val="00097524"/>
    <w:rsid w:val="000B75F5"/>
    <w:rsid w:val="000E0B52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76B8"/>
    <w:rsid w:val="001D038A"/>
    <w:rsid w:val="001E1D94"/>
    <w:rsid w:val="001F4722"/>
    <w:rsid w:val="001F631C"/>
    <w:rsid w:val="001F6E54"/>
    <w:rsid w:val="001F7C8D"/>
    <w:rsid w:val="00201911"/>
    <w:rsid w:val="00220FF0"/>
    <w:rsid w:val="00227707"/>
    <w:rsid w:val="00263C89"/>
    <w:rsid w:val="00267659"/>
    <w:rsid w:val="00276C9A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953C5"/>
    <w:rsid w:val="003D09B8"/>
    <w:rsid w:val="003D3345"/>
    <w:rsid w:val="003F24D9"/>
    <w:rsid w:val="00413B2D"/>
    <w:rsid w:val="004500D4"/>
    <w:rsid w:val="004657F8"/>
    <w:rsid w:val="0048327C"/>
    <w:rsid w:val="0049106C"/>
    <w:rsid w:val="00495EA7"/>
    <w:rsid w:val="00496CEB"/>
    <w:rsid w:val="0049764F"/>
    <w:rsid w:val="004A0D97"/>
    <w:rsid w:val="004D5247"/>
    <w:rsid w:val="004D58E5"/>
    <w:rsid w:val="004D60BE"/>
    <w:rsid w:val="004E48D5"/>
    <w:rsid w:val="004E6473"/>
    <w:rsid w:val="005047DF"/>
    <w:rsid w:val="005169BB"/>
    <w:rsid w:val="00522FCB"/>
    <w:rsid w:val="00541CB6"/>
    <w:rsid w:val="005429AA"/>
    <w:rsid w:val="00546B8B"/>
    <w:rsid w:val="005505F9"/>
    <w:rsid w:val="00550678"/>
    <w:rsid w:val="005525C6"/>
    <w:rsid w:val="0056477D"/>
    <w:rsid w:val="00597C08"/>
    <w:rsid w:val="005B38B0"/>
    <w:rsid w:val="005C4CB7"/>
    <w:rsid w:val="005D2B03"/>
    <w:rsid w:val="005E3ECA"/>
    <w:rsid w:val="005F066A"/>
    <w:rsid w:val="005F43DF"/>
    <w:rsid w:val="0061162A"/>
    <w:rsid w:val="0062690A"/>
    <w:rsid w:val="00662F57"/>
    <w:rsid w:val="006744A2"/>
    <w:rsid w:val="006752EB"/>
    <w:rsid w:val="00687699"/>
    <w:rsid w:val="00696006"/>
    <w:rsid w:val="006A38B9"/>
    <w:rsid w:val="006B2AC5"/>
    <w:rsid w:val="006C13C5"/>
    <w:rsid w:val="006D012E"/>
    <w:rsid w:val="006F4AE0"/>
    <w:rsid w:val="006F7712"/>
    <w:rsid w:val="00741E0B"/>
    <w:rsid w:val="00744E16"/>
    <w:rsid w:val="007910D9"/>
    <w:rsid w:val="007A07B4"/>
    <w:rsid w:val="007A1944"/>
    <w:rsid w:val="007B2B35"/>
    <w:rsid w:val="007C0A20"/>
    <w:rsid w:val="007D3FA9"/>
    <w:rsid w:val="007E077C"/>
    <w:rsid w:val="007E6A25"/>
    <w:rsid w:val="007F4AD2"/>
    <w:rsid w:val="0081567B"/>
    <w:rsid w:val="0081751A"/>
    <w:rsid w:val="00825D37"/>
    <w:rsid w:val="0082646B"/>
    <w:rsid w:val="00850894"/>
    <w:rsid w:val="0085127B"/>
    <w:rsid w:val="0085683C"/>
    <w:rsid w:val="008654D2"/>
    <w:rsid w:val="00871E42"/>
    <w:rsid w:val="00884366"/>
    <w:rsid w:val="00885766"/>
    <w:rsid w:val="00886242"/>
    <w:rsid w:val="008904F5"/>
    <w:rsid w:val="00890F01"/>
    <w:rsid w:val="008A1FB6"/>
    <w:rsid w:val="008B61C1"/>
    <w:rsid w:val="008C5A8B"/>
    <w:rsid w:val="008E1ED5"/>
    <w:rsid w:val="008F7A95"/>
    <w:rsid w:val="00924548"/>
    <w:rsid w:val="00937AAD"/>
    <w:rsid w:val="0095731F"/>
    <w:rsid w:val="00960568"/>
    <w:rsid w:val="009645B1"/>
    <w:rsid w:val="0096599A"/>
    <w:rsid w:val="00966CC6"/>
    <w:rsid w:val="00974C15"/>
    <w:rsid w:val="0098116B"/>
    <w:rsid w:val="00982093"/>
    <w:rsid w:val="009874ED"/>
    <w:rsid w:val="0099243E"/>
    <w:rsid w:val="009977FC"/>
    <w:rsid w:val="009A22B7"/>
    <w:rsid w:val="009B40C1"/>
    <w:rsid w:val="00A02878"/>
    <w:rsid w:val="00A2196B"/>
    <w:rsid w:val="00A228C6"/>
    <w:rsid w:val="00A70D44"/>
    <w:rsid w:val="00A75630"/>
    <w:rsid w:val="00A759A1"/>
    <w:rsid w:val="00AA3A1C"/>
    <w:rsid w:val="00AF4D53"/>
    <w:rsid w:val="00AF6833"/>
    <w:rsid w:val="00AF7A3F"/>
    <w:rsid w:val="00B4000D"/>
    <w:rsid w:val="00B40177"/>
    <w:rsid w:val="00B44177"/>
    <w:rsid w:val="00B80A0F"/>
    <w:rsid w:val="00B82646"/>
    <w:rsid w:val="00BA4631"/>
    <w:rsid w:val="00BB4413"/>
    <w:rsid w:val="00BC1725"/>
    <w:rsid w:val="00BC678F"/>
    <w:rsid w:val="00BC791D"/>
    <w:rsid w:val="00BD4D8F"/>
    <w:rsid w:val="00BE7994"/>
    <w:rsid w:val="00C0163F"/>
    <w:rsid w:val="00C10AF8"/>
    <w:rsid w:val="00C23D9C"/>
    <w:rsid w:val="00C673F7"/>
    <w:rsid w:val="00CE5312"/>
    <w:rsid w:val="00CE7011"/>
    <w:rsid w:val="00CF6B9C"/>
    <w:rsid w:val="00D01EF2"/>
    <w:rsid w:val="00D13404"/>
    <w:rsid w:val="00D26F44"/>
    <w:rsid w:val="00D37479"/>
    <w:rsid w:val="00D37CF7"/>
    <w:rsid w:val="00DA3A85"/>
    <w:rsid w:val="00DB5D57"/>
    <w:rsid w:val="00DC52C7"/>
    <w:rsid w:val="00DD21BF"/>
    <w:rsid w:val="00DE5B04"/>
    <w:rsid w:val="00DE6B61"/>
    <w:rsid w:val="00E10861"/>
    <w:rsid w:val="00E218A6"/>
    <w:rsid w:val="00E24D62"/>
    <w:rsid w:val="00E71852"/>
    <w:rsid w:val="00EA325B"/>
    <w:rsid w:val="00EA72F6"/>
    <w:rsid w:val="00EB1969"/>
    <w:rsid w:val="00EB30A5"/>
    <w:rsid w:val="00EB7F5C"/>
    <w:rsid w:val="00ED0BD1"/>
    <w:rsid w:val="00ED6F45"/>
    <w:rsid w:val="00F07718"/>
    <w:rsid w:val="00F1054D"/>
    <w:rsid w:val="00F11E14"/>
    <w:rsid w:val="00F3041F"/>
    <w:rsid w:val="00F50536"/>
    <w:rsid w:val="00F55749"/>
    <w:rsid w:val="00F93855"/>
    <w:rsid w:val="00F95693"/>
    <w:rsid w:val="00FD6A44"/>
    <w:rsid w:val="00FE09B8"/>
    <w:rsid w:val="00FE2C9D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3">
    <w:name w:val="Body Text Indent 3"/>
    <w:basedOn w:val="a"/>
    <w:link w:val="30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0">
    <w:name w:val="Основной текст с отступом 3 Знак"/>
    <w:basedOn w:val="a0"/>
    <w:link w:val="3"/>
    <w:rsid w:val="00FF27B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Асмик</cp:lastModifiedBy>
  <cp:revision>64</cp:revision>
  <dcterms:created xsi:type="dcterms:W3CDTF">2018-11-06T06:49:00Z</dcterms:created>
  <dcterms:modified xsi:type="dcterms:W3CDTF">2020-05-07T08:01:00Z</dcterms:modified>
</cp:coreProperties>
</file>